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72D2A" w14:textId="2DD11DD0" w:rsidR="000F0687" w:rsidRPr="00707311" w:rsidRDefault="000F0687" w:rsidP="00A54280">
      <w:pPr>
        <w:spacing w:after="0" w:line="360" w:lineRule="auto"/>
        <w:jc w:val="center"/>
        <w:outlineLvl w:val="0"/>
        <w:rPr>
          <w:rFonts w:ascii="Gotham Pro" w:eastAsia="Calibri" w:hAnsi="Gotham Pro" w:cs="Gotham Pro"/>
          <w:i/>
          <w:iCs/>
          <w:sz w:val="20"/>
          <w:szCs w:val="20"/>
        </w:rPr>
      </w:pPr>
      <w:bookmarkStart w:id="0" w:name="_GoBack"/>
      <w:bookmarkEnd w:id="0"/>
      <w:r w:rsidRPr="00707311">
        <w:rPr>
          <w:rFonts w:ascii="Gotham Pro" w:eastAsia="Calibri" w:hAnsi="Gotham Pro" w:cs="Gotham Pro"/>
          <w:i/>
          <w:iCs/>
          <w:sz w:val="20"/>
          <w:szCs w:val="20"/>
        </w:rPr>
        <w:t>Поправка до</w:t>
      </w:r>
    </w:p>
    <w:p w14:paraId="605A0990" w14:textId="77777777" w:rsidR="00A54280" w:rsidRPr="00A54280" w:rsidRDefault="00A54280" w:rsidP="00A54280">
      <w:pPr>
        <w:numPr>
          <w:ilvl w:val="0"/>
          <w:numId w:val="4"/>
        </w:numPr>
        <w:spacing w:after="0" w:line="360" w:lineRule="auto"/>
        <w:jc w:val="center"/>
        <w:outlineLvl w:val="0"/>
        <w:rPr>
          <w:rFonts w:ascii="Gotham Pro" w:eastAsia="Calibri" w:hAnsi="Gotham Pro" w:cs="Gotham Pro"/>
          <w:b/>
          <w:sz w:val="24"/>
          <w:szCs w:val="24"/>
        </w:rPr>
      </w:pPr>
      <w:r w:rsidRPr="00A54280">
        <w:rPr>
          <w:rFonts w:ascii="Gotham Pro" w:eastAsia="Calibri" w:hAnsi="Gotham Pro" w:cs="Gotham Pro"/>
          <w:b/>
          <w:sz w:val="24"/>
          <w:szCs w:val="24"/>
        </w:rPr>
        <w:t>ПОВІДОМЛЕННЯ</w:t>
      </w:r>
    </w:p>
    <w:p w14:paraId="792DC488" w14:textId="77777777" w:rsidR="00A54280" w:rsidRPr="00A54280" w:rsidRDefault="00A54280" w:rsidP="00A54280">
      <w:pPr>
        <w:numPr>
          <w:ilvl w:val="0"/>
          <w:numId w:val="4"/>
        </w:numPr>
        <w:spacing w:after="0" w:line="360" w:lineRule="auto"/>
        <w:jc w:val="center"/>
        <w:outlineLvl w:val="0"/>
        <w:rPr>
          <w:rFonts w:ascii="Gotham Pro" w:eastAsia="Calibri" w:hAnsi="Gotham Pro" w:cs="Gotham Pro"/>
          <w:b/>
          <w:sz w:val="24"/>
          <w:szCs w:val="24"/>
        </w:rPr>
      </w:pPr>
      <w:r w:rsidRPr="00A54280">
        <w:rPr>
          <w:rFonts w:ascii="Gotham Pro" w:eastAsia="Calibri" w:hAnsi="Gotham Pro" w:cs="Gotham Pro"/>
          <w:b/>
          <w:sz w:val="24"/>
          <w:szCs w:val="24"/>
        </w:rPr>
        <w:t>ПРО ПРОВЕДЕННЯ РІЧНИХ ЗАГАЛЬНИХ ЗБОРІВ АКЦІОНЕРІВ</w:t>
      </w:r>
    </w:p>
    <w:p w14:paraId="6BD992D5" w14:textId="77777777" w:rsidR="00A54280" w:rsidRPr="00A54280" w:rsidRDefault="00A54280" w:rsidP="00A54280">
      <w:pPr>
        <w:numPr>
          <w:ilvl w:val="0"/>
          <w:numId w:val="4"/>
        </w:numPr>
        <w:spacing w:after="0" w:line="360" w:lineRule="auto"/>
        <w:jc w:val="center"/>
        <w:outlineLvl w:val="0"/>
        <w:rPr>
          <w:rFonts w:ascii="Gotham Pro" w:eastAsia="Calibri" w:hAnsi="Gotham Pro" w:cs="Gotham Pro"/>
          <w:b/>
          <w:sz w:val="24"/>
          <w:szCs w:val="24"/>
        </w:rPr>
      </w:pPr>
      <w:bookmarkStart w:id="1" w:name="_Hlk499233860"/>
      <w:r w:rsidRPr="00A54280">
        <w:rPr>
          <w:rFonts w:ascii="Gotham Pro" w:eastAsia="Calibri" w:hAnsi="Gotham Pro" w:cs="Gotham Pro"/>
          <w:b/>
          <w:sz w:val="24"/>
          <w:szCs w:val="24"/>
        </w:rPr>
        <w:t>ПРИВАТНОГО АКЦІОНЕРНОГО ТОВАРИСТВА "АСКОЛЬД"</w:t>
      </w:r>
    </w:p>
    <w:p w14:paraId="14E2F848" w14:textId="77777777" w:rsidR="00A54280" w:rsidRPr="00A54280" w:rsidRDefault="00A54280" w:rsidP="00A54280">
      <w:pPr>
        <w:numPr>
          <w:ilvl w:val="0"/>
          <w:numId w:val="4"/>
        </w:numPr>
        <w:spacing w:after="0" w:line="360" w:lineRule="auto"/>
        <w:jc w:val="center"/>
        <w:outlineLvl w:val="0"/>
        <w:rPr>
          <w:rFonts w:ascii="Gotham Pro" w:eastAsia="Calibri" w:hAnsi="Gotham Pro" w:cs="Gotham Pro"/>
          <w:bCs/>
          <w:sz w:val="20"/>
          <w:szCs w:val="20"/>
        </w:rPr>
      </w:pPr>
      <w:r w:rsidRPr="00A54280">
        <w:rPr>
          <w:rFonts w:ascii="Gotham Pro" w:eastAsia="Calibri" w:hAnsi="Gotham Pro" w:cs="Gotham Pro"/>
          <w:bCs/>
          <w:sz w:val="20"/>
          <w:szCs w:val="20"/>
        </w:rPr>
        <w:t xml:space="preserve">ідентифікаційний код юридичної особи: </w:t>
      </w:r>
      <w:bookmarkEnd w:id="1"/>
      <w:r w:rsidRPr="00A54280">
        <w:rPr>
          <w:rFonts w:ascii="Gotham Pro" w:eastAsia="Calibri" w:hAnsi="Gotham Pro" w:cs="Gotham Pro"/>
          <w:bCs/>
          <w:sz w:val="20"/>
          <w:szCs w:val="20"/>
        </w:rPr>
        <w:t>14316089</w:t>
      </w:r>
    </w:p>
    <w:p w14:paraId="625BA238" w14:textId="77777777" w:rsidR="00A54280" w:rsidRPr="00A54280" w:rsidRDefault="00A54280" w:rsidP="00A54280">
      <w:pPr>
        <w:numPr>
          <w:ilvl w:val="0"/>
          <w:numId w:val="4"/>
        </w:numPr>
        <w:spacing w:after="0" w:line="360" w:lineRule="auto"/>
        <w:jc w:val="center"/>
        <w:outlineLvl w:val="0"/>
        <w:rPr>
          <w:rFonts w:ascii="Gotham Pro" w:eastAsia="Calibri" w:hAnsi="Gotham Pro" w:cs="Gotham Pro"/>
          <w:b/>
          <w:sz w:val="20"/>
        </w:rPr>
      </w:pPr>
      <w:r w:rsidRPr="00A54280">
        <w:rPr>
          <w:rFonts w:ascii="Gotham Pro" w:eastAsia="Calibri" w:hAnsi="Gotham Pro" w:cs="Gotham Pro"/>
          <w:bCs/>
          <w:sz w:val="20"/>
          <w:szCs w:val="20"/>
        </w:rPr>
        <w:t>місцезнаходження: Україна, 08300, Київська обл., м. Бориспіль, вул. Польова, буд. 26</w:t>
      </w:r>
      <w:r w:rsidRPr="00A54280">
        <w:rPr>
          <w:rFonts w:ascii="Gotham Pro" w:eastAsia="Calibri" w:hAnsi="Gotham Pro" w:cs="Gotham Pro"/>
          <w:b/>
          <w:sz w:val="20"/>
        </w:rPr>
        <w:t xml:space="preserve"> </w:t>
      </w:r>
    </w:p>
    <w:p w14:paraId="706B23CB" w14:textId="77777777" w:rsidR="00A54280" w:rsidRPr="00A54280" w:rsidRDefault="00A54280" w:rsidP="00A54280">
      <w:pPr>
        <w:numPr>
          <w:ilvl w:val="0"/>
          <w:numId w:val="4"/>
        </w:numPr>
        <w:spacing w:after="0" w:line="360" w:lineRule="auto"/>
        <w:jc w:val="center"/>
        <w:outlineLvl w:val="0"/>
        <w:rPr>
          <w:rFonts w:ascii="Gotham Pro" w:eastAsia="Calibri" w:hAnsi="Gotham Pro" w:cs="Gotham Pro"/>
          <w:b/>
          <w:sz w:val="20"/>
        </w:rPr>
      </w:pPr>
      <w:r w:rsidRPr="00A54280">
        <w:rPr>
          <w:rFonts w:ascii="Gotham Pro" w:eastAsia="Calibri" w:hAnsi="Gotham Pro" w:cs="Gotham Pro"/>
          <w:b/>
          <w:sz w:val="20"/>
        </w:rPr>
        <w:t>(надалі – "Товариство")</w:t>
      </w:r>
    </w:p>
    <w:p w14:paraId="594920B3" w14:textId="77777777" w:rsidR="00A54280" w:rsidRPr="00A54280" w:rsidRDefault="00A54280" w:rsidP="00A54280">
      <w:pPr>
        <w:numPr>
          <w:ilvl w:val="0"/>
          <w:numId w:val="4"/>
        </w:numPr>
        <w:spacing w:before="120" w:after="120" w:line="300" w:lineRule="exact"/>
        <w:jc w:val="center"/>
        <w:outlineLvl w:val="0"/>
        <w:rPr>
          <w:rFonts w:ascii="Gotham Pro" w:eastAsia="Calibri" w:hAnsi="Gotham Pro" w:cs="Gotham Pro"/>
          <w:b/>
          <w:sz w:val="20"/>
          <w:szCs w:val="20"/>
        </w:rPr>
      </w:pPr>
      <w:r w:rsidRPr="00A54280">
        <w:rPr>
          <w:rFonts w:ascii="Gotham Pro" w:eastAsia="Calibri" w:hAnsi="Gotham Pro" w:cs="Gotham Pro"/>
          <w:b/>
          <w:sz w:val="20"/>
          <w:szCs w:val="20"/>
        </w:rPr>
        <w:t>Шановний акціонере!</w:t>
      </w:r>
    </w:p>
    <w:p w14:paraId="30D76D39" w14:textId="6DFAA6A7" w:rsidR="000F0687" w:rsidRPr="000F0687" w:rsidRDefault="000F0687" w:rsidP="00A54280">
      <w:pPr>
        <w:numPr>
          <w:ilvl w:val="0"/>
          <w:numId w:val="4"/>
        </w:num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  <w:lang w:val="ru-RU"/>
        </w:rPr>
        <w:t>П</w:t>
      </w:r>
      <w:r w:rsidR="00A54280" w:rsidRPr="00A54280">
        <w:rPr>
          <w:rFonts w:ascii="Gotham Pro" w:eastAsia="Calibri" w:hAnsi="Gotham Pro" w:cs="Gotham Pro"/>
          <w:sz w:val="20"/>
          <w:szCs w:val="20"/>
        </w:rPr>
        <w:t xml:space="preserve">ро проведення річних загальних зборів акціонерів Товариства, які відбудуться </w:t>
      </w:r>
      <w:r w:rsidR="00A54280" w:rsidRPr="00A54280">
        <w:rPr>
          <w:rFonts w:ascii="Gotham Pro" w:eastAsia="Calibri" w:hAnsi="Gotham Pro" w:cs="Gotham Pro"/>
          <w:b/>
          <w:sz w:val="20"/>
          <w:szCs w:val="20"/>
        </w:rPr>
        <w:t>26 березня 2021</w:t>
      </w:r>
      <w:r w:rsidR="00A54280" w:rsidRPr="00A54280">
        <w:rPr>
          <w:rFonts w:ascii="Gotham Pro" w:eastAsia="Calibri" w:hAnsi="Gotham Pro" w:cs="Gotham Pro"/>
          <w:sz w:val="20"/>
          <w:szCs w:val="20"/>
        </w:rPr>
        <w:t xml:space="preserve"> </w:t>
      </w:r>
      <w:proofErr w:type="gramStart"/>
      <w:r w:rsidR="00A54280" w:rsidRPr="00A54280">
        <w:rPr>
          <w:rFonts w:ascii="Gotham Pro" w:eastAsia="Calibri" w:hAnsi="Gotham Pro" w:cs="Gotham Pro"/>
          <w:sz w:val="20"/>
          <w:szCs w:val="20"/>
        </w:rPr>
        <w:t>року</w:t>
      </w:r>
      <w:r>
        <w:rPr>
          <w:rFonts w:ascii="Gotham Pro" w:eastAsia="Calibri" w:hAnsi="Gotham Pro" w:cs="Gotham Pro"/>
          <w:sz w:val="20"/>
          <w:szCs w:val="20"/>
          <w:lang w:val="ru-RU"/>
        </w:rPr>
        <w:t xml:space="preserve">, </w:t>
      </w:r>
      <w:r w:rsidR="00A54280" w:rsidRPr="00A54280">
        <w:rPr>
          <w:rFonts w:ascii="Gotham Pro" w:eastAsia="Calibri" w:hAnsi="Gotham Pro" w:cs="Gotham Pro"/>
          <w:sz w:val="20"/>
          <w:szCs w:val="20"/>
        </w:rPr>
        <w:t xml:space="preserve"> </w:t>
      </w:r>
      <w:r w:rsidRPr="00A54280">
        <w:rPr>
          <w:rFonts w:ascii="Gotham Pro" w:eastAsia="Calibri" w:hAnsi="Gotham Pro" w:cs="Gotham Pro"/>
          <w:sz w:val="20"/>
          <w:szCs w:val="20"/>
        </w:rPr>
        <w:t>Товариство</w:t>
      </w:r>
      <w:proofErr w:type="gramEnd"/>
      <w:r w:rsidRPr="00A54280">
        <w:rPr>
          <w:rFonts w:ascii="Gotham Pro" w:eastAsia="Calibri" w:hAnsi="Gotham Pro" w:cs="Gotham Pro"/>
          <w:sz w:val="20"/>
          <w:szCs w:val="20"/>
        </w:rPr>
        <w:t xml:space="preserve"> повідом</w:t>
      </w:r>
      <w:r>
        <w:rPr>
          <w:rFonts w:ascii="Gotham Pro" w:eastAsia="Calibri" w:hAnsi="Gotham Pro" w:cs="Gotham Pro"/>
          <w:sz w:val="20"/>
          <w:szCs w:val="20"/>
          <w:lang w:val="ru-RU"/>
        </w:rPr>
        <w:t>и</w:t>
      </w:r>
      <w:r w:rsidRPr="00A54280">
        <w:rPr>
          <w:rFonts w:ascii="Gotham Pro" w:eastAsia="Calibri" w:hAnsi="Gotham Pro" w:cs="Gotham Pro"/>
          <w:sz w:val="20"/>
          <w:szCs w:val="20"/>
        </w:rPr>
        <w:t>л</w:t>
      </w:r>
      <w:r>
        <w:rPr>
          <w:rFonts w:ascii="Gotham Pro" w:eastAsia="Calibri" w:hAnsi="Gotham Pro" w:cs="Gotham Pro"/>
          <w:sz w:val="20"/>
          <w:szCs w:val="20"/>
          <w:lang w:val="ru-RU"/>
        </w:rPr>
        <w:t xml:space="preserve">о на </w:t>
      </w:r>
      <w:proofErr w:type="spellStart"/>
      <w:r>
        <w:rPr>
          <w:rFonts w:ascii="Gotham Pro" w:eastAsia="Calibri" w:hAnsi="Gotham Pro" w:cs="Gotham Pro"/>
          <w:sz w:val="20"/>
          <w:szCs w:val="20"/>
          <w:lang w:val="ru-RU"/>
        </w:rPr>
        <w:t>своєму</w:t>
      </w:r>
      <w:proofErr w:type="spellEnd"/>
      <w:r>
        <w:rPr>
          <w:rFonts w:ascii="Gotham Pro" w:eastAsia="Calibri" w:hAnsi="Gotham Pro" w:cs="Gotham Pro"/>
          <w:sz w:val="20"/>
          <w:szCs w:val="20"/>
          <w:lang w:val="ru-RU"/>
        </w:rPr>
        <w:t xml:space="preserve"> </w:t>
      </w:r>
      <w:proofErr w:type="spellStart"/>
      <w:r>
        <w:rPr>
          <w:rFonts w:ascii="Gotham Pro" w:eastAsia="Calibri" w:hAnsi="Gotham Pro" w:cs="Gotham Pro"/>
          <w:sz w:val="20"/>
          <w:szCs w:val="20"/>
          <w:lang w:val="ru-RU"/>
        </w:rPr>
        <w:t>сайті</w:t>
      </w:r>
      <w:proofErr w:type="spellEnd"/>
      <w:r>
        <w:rPr>
          <w:rFonts w:ascii="Gotham Pro" w:eastAsia="Calibri" w:hAnsi="Gotham Pro" w:cs="Gotham Pro"/>
          <w:sz w:val="20"/>
          <w:szCs w:val="20"/>
          <w:lang w:val="ru-RU"/>
        </w:rPr>
        <w:t xml:space="preserve"> за </w:t>
      </w:r>
      <w:proofErr w:type="spellStart"/>
      <w:r>
        <w:rPr>
          <w:rFonts w:ascii="Gotham Pro" w:eastAsia="Calibri" w:hAnsi="Gotham Pro" w:cs="Gotham Pro"/>
          <w:sz w:val="20"/>
          <w:szCs w:val="20"/>
          <w:lang w:val="ru-RU"/>
        </w:rPr>
        <w:t>посиланням</w:t>
      </w:r>
      <w:proofErr w:type="spellEnd"/>
    </w:p>
    <w:p w14:paraId="43D84C1B" w14:textId="18902D80" w:rsidR="000F0687" w:rsidRPr="000F0687" w:rsidRDefault="000F0687" w:rsidP="00A54280">
      <w:pPr>
        <w:numPr>
          <w:ilvl w:val="0"/>
          <w:numId w:val="4"/>
        </w:num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 w:rsidRPr="000F0687">
        <w:rPr>
          <w:rFonts w:ascii="Gotham Pro" w:eastAsia="Calibri" w:hAnsi="Gotham Pro" w:cs="Gotham Pro"/>
          <w:sz w:val="20"/>
          <w:szCs w:val="20"/>
        </w:rPr>
        <w:t>http://askold.pat.ua/documents/povidomlennya-pro-zbori?doc=79899</w:t>
      </w:r>
    </w:p>
    <w:p w14:paraId="657859E7" w14:textId="3A39CAA1" w:rsidR="00A54280" w:rsidRPr="000F0687" w:rsidRDefault="000F0687" w:rsidP="000F0687">
      <w:pPr>
        <w:numPr>
          <w:ilvl w:val="0"/>
          <w:numId w:val="4"/>
        </w:num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  <w:lang w:val="ru-RU"/>
        </w:rPr>
        <w:t xml:space="preserve">та на </w:t>
      </w:r>
      <w:r>
        <w:t>сайті Загальнодоступної інформаційної бази даних Національної комісії з цінних паперів та фондового ринку про ринок цінних паперів</w:t>
      </w:r>
      <w:r>
        <w:rPr>
          <w:rFonts w:ascii="Gotham Pro" w:eastAsia="Calibri" w:hAnsi="Gotham Pro" w:cs="Gotham Pro"/>
          <w:sz w:val="20"/>
          <w:szCs w:val="20"/>
          <w:lang w:val="ru-RU"/>
        </w:rPr>
        <w:t xml:space="preserve"> за </w:t>
      </w:r>
      <w:proofErr w:type="spellStart"/>
      <w:r>
        <w:rPr>
          <w:rFonts w:ascii="Gotham Pro" w:eastAsia="Calibri" w:hAnsi="Gotham Pro" w:cs="Gotham Pro"/>
          <w:sz w:val="20"/>
          <w:szCs w:val="20"/>
          <w:lang w:val="ru-RU"/>
        </w:rPr>
        <w:t>посиланням</w:t>
      </w:r>
      <w:proofErr w:type="spellEnd"/>
    </w:p>
    <w:p w14:paraId="189D6C63" w14:textId="21EB69E9" w:rsidR="000F0687" w:rsidRDefault="00083806" w:rsidP="00A54280">
      <w:pPr>
        <w:numPr>
          <w:ilvl w:val="0"/>
          <w:numId w:val="4"/>
        </w:num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hyperlink r:id="rId5" w:history="1">
        <w:r w:rsidR="000F0687" w:rsidRPr="00F25810">
          <w:rPr>
            <w:rStyle w:val="a3"/>
            <w:rFonts w:ascii="Gotham Pro" w:eastAsia="Calibri" w:hAnsi="Gotham Pro" w:cs="Gotham Pro"/>
            <w:sz w:val="20"/>
            <w:szCs w:val="20"/>
          </w:rPr>
          <w:t>https://stockmarket.gov.ua/cabinet/show/49628</w:t>
        </w:r>
      </w:hyperlink>
    </w:p>
    <w:p w14:paraId="03C2D85C" w14:textId="6739BF56" w:rsidR="000F0687" w:rsidRDefault="000F0687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</w:p>
    <w:p w14:paraId="2D6E2B19" w14:textId="3B1B6737" w:rsidR="00C634A5" w:rsidRDefault="00C634A5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</w:rPr>
        <w:t xml:space="preserve">В </w:t>
      </w:r>
      <w:proofErr w:type="spellStart"/>
      <w:r>
        <w:rPr>
          <w:rFonts w:ascii="Gotham Pro" w:eastAsia="Calibri" w:hAnsi="Gotham Pro" w:cs="Gotham Pro"/>
          <w:sz w:val="20"/>
          <w:szCs w:val="20"/>
        </w:rPr>
        <w:t>звязку</w:t>
      </w:r>
      <w:proofErr w:type="spellEnd"/>
      <w:r>
        <w:rPr>
          <w:rFonts w:ascii="Gotham Pro" w:eastAsia="Calibri" w:hAnsi="Gotham Pro" w:cs="Gotham Pro"/>
          <w:sz w:val="20"/>
          <w:szCs w:val="20"/>
        </w:rPr>
        <w:t xml:space="preserve"> з опискою </w:t>
      </w:r>
      <w:r w:rsidR="00396A12">
        <w:rPr>
          <w:rFonts w:ascii="Gotham Pro" w:eastAsia="Calibri" w:hAnsi="Gotham Pro" w:cs="Gotham Pro"/>
          <w:sz w:val="20"/>
          <w:szCs w:val="20"/>
        </w:rPr>
        <w:t xml:space="preserve">в тексті </w:t>
      </w:r>
      <w:r w:rsidR="00396A12" w:rsidRPr="003D260A">
        <w:rPr>
          <w:rFonts w:ascii="Gotham Pro" w:eastAsia="Calibri" w:hAnsi="Gotham Pro" w:cs="Gotham Pro"/>
          <w:sz w:val="20"/>
          <w:szCs w:val="20"/>
        </w:rPr>
        <w:t>повідомлення</w:t>
      </w:r>
      <w:r w:rsidR="00396A12">
        <w:rPr>
          <w:rFonts w:ascii="Gotham Pro" w:eastAsia="Calibri" w:hAnsi="Gotham Pro" w:cs="Gotham Pro"/>
          <w:sz w:val="20"/>
          <w:szCs w:val="20"/>
        </w:rPr>
        <w:t xml:space="preserve"> </w:t>
      </w:r>
      <w:r>
        <w:rPr>
          <w:rFonts w:ascii="Gotham Pro" w:eastAsia="Calibri" w:hAnsi="Gotham Pro" w:cs="Gotham Pro"/>
          <w:sz w:val="20"/>
          <w:szCs w:val="20"/>
        </w:rPr>
        <w:t>просимо в п.13 замість слів</w:t>
      </w:r>
    </w:p>
    <w:p w14:paraId="7ABC30D4" w14:textId="2786FAF5" w:rsidR="00C634A5" w:rsidRDefault="00C634A5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</w:rPr>
        <w:t>«</w:t>
      </w:r>
      <w:r w:rsidR="00707311" w:rsidRPr="00A54280">
        <w:rPr>
          <w:rFonts w:ascii="Gotham Pro" w:eastAsia="Times New Roman" w:hAnsi="Gotham Pro" w:cs="Gotham Pro"/>
          <w:b/>
          <w:bCs/>
          <w:sz w:val="20"/>
          <w:szCs w:val="20"/>
          <w:lang w:eastAsia="ru-RU"/>
        </w:rPr>
        <w:t xml:space="preserve">Про обрання </w:t>
      </w:r>
      <w:r w:rsidR="00707311" w:rsidRPr="00707311">
        <w:rPr>
          <w:rFonts w:ascii="Gotham Pro" w:eastAsia="Times New Roman" w:hAnsi="Gotham Pro" w:cs="Gotham Pro"/>
          <w:b/>
          <w:bCs/>
          <w:i/>
          <w:iCs/>
          <w:sz w:val="20"/>
          <w:szCs w:val="20"/>
          <w:lang w:eastAsia="ru-RU"/>
        </w:rPr>
        <w:t>членів</w:t>
      </w:r>
      <w:r w:rsidR="00707311" w:rsidRPr="00A54280">
        <w:rPr>
          <w:rFonts w:ascii="Gotham Pro" w:eastAsia="Times New Roman" w:hAnsi="Gotham Pro" w:cs="Gotham Pro"/>
          <w:b/>
          <w:bCs/>
          <w:sz w:val="20"/>
          <w:szCs w:val="20"/>
          <w:lang w:eastAsia="ru-RU"/>
        </w:rPr>
        <w:t xml:space="preserve"> </w:t>
      </w:r>
      <w:r w:rsidR="00707311" w:rsidRPr="00707311">
        <w:rPr>
          <w:rFonts w:ascii="Gotham Pro" w:eastAsia="Times New Roman" w:hAnsi="Gotham Pro" w:cs="Gotham Pro"/>
          <w:b/>
          <w:bCs/>
          <w:i/>
          <w:iCs/>
          <w:sz w:val="20"/>
          <w:szCs w:val="20"/>
          <w:lang w:eastAsia="ru-RU"/>
        </w:rPr>
        <w:t>Наглядової ради</w:t>
      </w:r>
      <w:r w:rsidR="00707311" w:rsidRPr="00A54280">
        <w:rPr>
          <w:rFonts w:ascii="Gotham Pro" w:eastAsia="Times New Roman" w:hAnsi="Gotham Pro" w:cs="Gotham Pro"/>
          <w:b/>
          <w:bCs/>
          <w:sz w:val="20"/>
          <w:szCs w:val="20"/>
          <w:lang w:eastAsia="ru-RU"/>
        </w:rPr>
        <w:t xml:space="preserve"> Товариства</w:t>
      </w:r>
      <w:r>
        <w:rPr>
          <w:rFonts w:ascii="Gotham Pro" w:eastAsia="Calibri" w:hAnsi="Gotham Pro" w:cs="Gotham Pro"/>
          <w:sz w:val="20"/>
          <w:szCs w:val="20"/>
        </w:rPr>
        <w:t>»</w:t>
      </w:r>
    </w:p>
    <w:p w14:paraId="073686BA" w14:textId="250B743D" w:rsidR="00C634A5" w:rsidRDefault="003D260A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</w:rPr>
        <w:t>в</w:t>
      </w:r>
      <w:r w:rsidR="00C634A5">
        <w:rPr>
          <w:rFonts w:ascii="Gotham Pro" w:eastAsia="Calibri" w:hAnsi="Gotham Pro" w:cs="Gotham Pro"/>
          <w:sz w:val="20"/>
          <w:szCs w:val="20"/>
        </w:rPr>
        <w:t>важати</w:t>
      </w:r>
    </w:p>
    <w:p w14:paraId="03EED303" w14:textId="3C7B444B" w:rsidR="00C634A5" w:rsidRDefault="00C634A5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</w:rPr>
        <w:t>«</w:t>
      </w:r>
      <w:r w:rsidR="00707311" w:rsidRPr="00707311">
        <w:rPr>
          <w:rFonts w:ascii="Gotham Pro" w:eastAsia="Times New Roman" w:hAnsi="Gotham Pro" w:cs="Gotham Pro"/>
          <w:b/>
          <w:bCs/>
          <w:sz w:val="20"/>
          <w:szCs w:val="20"/>
          <w:lang w:eastAsia="ru-RU"/>
        </w:rPr>
        <w:t xml:space="preserve">Про обрання </w:t>
      </w:r>
      <w:r w:rsidR="00707311" w:rsidRPr="00707311">
        <w:rPr>
          <w:rFonts w:ascii="Gotham Pro" w:eastAsia="Times New Roman" w:hAnsi="Gotham Pro" w:cs="Gotham Pro"/>
          <w:b/>
          <w:bCs/>
          <w:i/>
          <w:iCs/>
          <w:sz w:val="20"/>
          <w:szCs w:val="20"/>
          <w:lang w:eastAsia="ru-RU"/>
        </w:rPr>
        <w:t>Голови та Членів правління</w:t>
      </w:r>
      <w:r w:rsidR="00707311" w:rsidRPr="00707311">
        <w:rPr>
          <w:rFonts w:ascii="Gotham Pro" w:eastAsia="Times New Roman" w:hAnsi="Gotham Pro" w:cs="Gotham Pro"/>
          <w:b/>
          <w:bCs/>
          <w:sz w:val="20"/>
          <w:szCs w:val="20"/>
          <w:lang w:eastAsia="ru-RU"/>
        </w:rPr>
        <w:t xml:space="preserve"> Товариства</w:t>
      </w:r>
      <w:r>
        <w:rPr>
          <w:rFonts w:ascii="Gotham Pro" w:eastAsia="Calibri" w:hAnsi="Gotham Pro" w:cs="Gotham Pro"/>
          <w:sz w:val="20"/>
          <w:szCs w:val="20"/>
        </w:rPr>
        <w:t>»</w:t>
      </w:r>
    </w:p>
    <w:p w14:paraId="4F1337C4" w14:textId="2F4F328C" w:rsidR="00C634A5" w:rsidRDefault="00C634A5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</w:p>
    <w:p w14:paraId="0C52DE42" w14:textId="71A3824F" w:rsidR="00C634A5" w:rsidRDefault="00C634A5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  <w:r>
        <w:rPr>
          <w:rFonts w:ascii="Gotham Pro" w:eastAsia="Calibri" w:hAnsi="Gotham Pro" w:cs="Gotham Pro"/>
          <w:sz w:val="20"/>
          <w:szCs w:val="20"/>
        </w:rPr>
        <w:t xml:space="preserve">Інші </w:t>
      </w:r>
      <w:r w:rsidR="003D260A">
        <w:rPr>
          <w:rFonts w:ascii="Gotham Pro" w:eastAsia="Calibri" w:hAnsi="Gotham Pro" w:cs="Gotham Pro"/>
          <w:sz w:val="20"/>
          <w:szCs w:val="20"/>
        </w:rPr>
        <w:t xml:space="preserve">положення </w:t>
      </w:r>
      <w:r w:rsidR="00396A12" w:rsidRPr="003D260A">
        <w:rPr>
          <w:rFonts w:ascii="Gotham Pro" w:eastAsia="Calibri" w:hAnsi="Gotham Pro" w:cs="Gotham Pro"/>
          <w:sz w:val="20"/>
          <w:szCs w:val="20"/>
        </w:rPr>
        <w:t>повідомлення</w:t>
      </w:r>
      <w:r w:rsidR="00396A12">
        <w:rPr>
          <w:rFonts w:ascii="Gotham Pro" w:eastAsia="Calibri" w:hAnsi="Gotham Pro" w:cs="Gotham Pro"/>
          <w:sz w:val="20"/>
          <w:szCs w:val="20"/>
        </w:rPr>
        <w:t xml:space="preserve"> </w:t>
      </w:r>
      <w:r w:rsidR="003D260A">
        <w:rPr>
          <w:rFonts w:ascii="Gotham Pro" w:eastAsia="Calibri" w:hAnsi="Gotham Pro" w:cs="Gotham Pro"/>
          <w:sz w:val="20"/>
          <w:szCs w:val="20"/>
        </w:rPr>
        <w:t>змін не зазнали.</w:t>
      </w:r>
    </w:p>
    <w:p w14:paraId="4ADEED2E" w14:textId="77777777" w:rsidR="00C634A5" w:rsidRPr="00A54280" w:rsidRDefault="00C634A5" w:rsidP="00C634A5">
      <w:pPr>
        <w:spacing w:before="120" w:after="120" w:line="240" w:lineRule="auto"/>
        <w:jc w:val="both"/>
        <w:outlineLvl w:val="0"/>
        <w:rPr>
          <w:rFonts w:ascii="Gotham Pro" w:eastAsia="Calibri" w:hAnsi="Gotham Pro" w:cs="Gotham Pro"/>
          <w:sz w:val="20"/>
          <w:szCs w:val="20"/>
        </w:rPr>
      </w:pPr>
    </w:p>
    <w:p w14:paraId="23FFBA21" w14:textId="77777777" w:rsidR="00A54280" w:rsidRPr="00A54280" w:rsidRDefault="00A54280" w:rsidP="00A54280">
      <w:pPr>
        <w:pBdr>
          <w:bottom w:val="single" w:sz="12" w:space="1" w:color="auto"/>
        </w:pBdr>
        <w:tabs>
          <w:tab w:val="left" w:pos="2685"/>
        </w:tabs>
        <w:spacing w:after="0" w:line="240" w:lineRule="auto"/>
        <w:jc w:val="both"/>
        <w:rPr>
          <w:rFonts w:ascii="Gotham Pro" w:eastAsia="Calibri" w:hAnsi="Gotham Pro" w:cs="Gotham Pro"/>
          <w:sz w:val="20"/>
          <w:szCs w:val="20"/>
        </w:rPr>
      </w:pPr>
      <w:r w:rsidRPr="00A54280">
        <w:rPr>
          <w:rFonts w:ascii="Gotham Pro" w:eastAsia="Times New Roman" w:hAnsi="Gotham Pro" w:cs="Gotham Pro"/>
          <w:sz w:val="20"/>
          <w:szCs w:val="20"/>
          <w:lang w:eastAsia="ru-RU"/>
        </w:rPr>
        <w:t xml:space="preserve">                                </w:t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</w:p>
    <w:p w14:paraId="24944088" w14:textId="77777777" w:rsidR="00A54280" w:rsidRPr="00A54280" w:rsidRDefault="00A54280" w:rsidP="00A54280">
      <w:pPr>
        <w:pBdr>
          <w:bottom w:val="single" w:sz="12" w:space="1" w:color="auto"/>
        </w:pBdr>
        <w:tabs>
          <w:tab w:val="left" w:pos="2685"/>
        </w:tabs>
        <w:spacing w:after="0" w:line="240" w:lineRule="auto"/>
        <w:jc w:val="both"/>
        <w:rPr>
          <w:rFonts w:ascii="Gotham Pro" w:eastAsia="Calibri" w:hAnsi="Gotham Pro" w:cs="Gotham Pro"/>
          <w:sz w:val="20"/>
          <w:szCs w:val="20"/>
        </w:rPr>
      </w:pP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r w:rsidRPr="00A54280">
        <w:rPr>
          <w:rFonts w:ascii="Gotham Pro" w:eastAsia="Calibri" w:hAnsi="Gotham Pro" w:cs="Gotham Pro"/>
          <w:sz w:val="20"/>
          <w:szCs w:val="20"/>
        </w:rPr>
        <w:tab/>
      </w:r>
      <w:bookmarkStart w:id="2" w:name="_Hlk3785725"/>
      <w:r w:rsidRPr="00A54280">
        <w:rPr>
          <w:rFonts w:ascii="Gotham Pro" w:eastAsia="Calibri" w:hAnsi="Gotham Pro" w:cs="Gotham Pro"/>
          <w:sz w:val="20"/>
          <w:szCs w:val="20"/>
        </w:rPr>
        <w:t xml:space="preserve">         </w:t>
      </w:r>
    </w:p>
    <w:p w14:paraId="667C7240" w14:textId="77777777" w:rsidR="00A54280" w:rsidRPr="00A54280" w:rsidRDefault="00A54280" w:rsidP="00A54280">
      <w:pPr>
        <w:pBdr>
          <w:bottom w:val="single" w:sz="12" w:space="1" w:color="auto"/>
        </w:pBdr>
        <w:tabs>
          <w:tab w:val="left" w:pos="2685"/>
        </w:tabs>
        <w:spacing w:after="0" w:line="240" w:lineRule="auto"/>
        <w:jc w:val="right"/>
        <w:rPr>
          <w:rFonts w:ascii="Gotham Pro" w:eastAsia="Calibri" w:hAnsi="Gotham Pro" w:cs="Gotham Pro"/>
          <w:sz w:val="20"/>
          <w:szCs w:val="20"/>
        </w:rPr>
      </w:pPr>
      <w:r w:rsidRPr="00A54280">
        <w:rPr>
          <w:rFonts w:ascii="Gotham Pro" w:eastAsia="Calibri" w:hAnsi="Gotham Pro" w:cs="Gotham Pro"/>
          <w:sz w:val="20"/>
          <w:szCs w:val="20"/>
        </w:rPr>
        <w:t xml:space="preserve"> «Наглядова рада»</w:t>
      </w:r>
      <w:bookmarkEnd w:id="2"/>
    </w:p>
    <w:sectPr w:rsidR="00A54280" w:rsidRPr="00A54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14"/>
    <w:multiLevelType w:val="hybridMultilevel"/>
    <w:tmpl w:val="2EF4AE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7A7"/>
    <w:multiLevelType w:val="multilevel"/>
    <w:tmpl w:val="A8C6486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</w:lvl>
    <w:lvl w:ilvl="8">
      <w:start w:val="1"/>
      <w:numFmt w:val="none"/>
      <w:lvlRestart w:val="0"/>
      <w:lvlText w:val=""/>
      <w:lvlJc w:val="left"/>
      <w:pPr>
        <w:ind w:left="5760" w:firstLine="0"/>
      </w:pPr>
    </w:lvl>
  </w:abstractNum>
  <w:abstractNum w:abstractNumId="2" w15:restartNumberingAfterBreak="0">
    <w:nsid w:val="5EF64D49"/>
    <w:multiLevelType w:val="hybridMultilevel"/>
    <w:tmpl w:val="2EAA82DC"/>
    <w:lvl w:ilvl="0" w:tplc="256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0"/>
    <w:rsid w:val="00083806"/>
    <w:rsid w:val="000F0687"/>
    <w:rsid w:val="00396A12"/>
    <w:rsid w:val="003A557C"/>
    <w:rsid w:val="003D260A"/>
    <w:rsid w:val="00707311"/>
    <w:rsid w:val="00A54280"/>
    <w:rsid w:val="00AF673D"/>
    <w:rsid w:val="00C634A5"/>
    <w:rsid w:val="00E6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5255"/>
  <w15:chartTrackingRefBased/>
  <w15:docId w15:val="{D63BC042-0867-4F62-A0E6-363AE40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A54280"/>
    <w:pPr>
      <w:numPr>
        <w:numId w:val="3"/>
      </w:numPr>
      <w:tabs>
        <w:tab w:val="num" w:pos="360"/>
      </w:tabs>
      <w:spacing w:before="120" w:after="120" w:line="300" w:lineRule="exact"/>
      <w:jc w:val="both"/>
      <w:outlineLvl w:val="0"/>
    </w:pPr>
    <w:rPr>
      <w:rFonts w:ascii="Arial" w:hAnsi="Arial"/>
      <w:sz w:val="20"/>
      <w:lang w:val="en-US"/>
    </w:rPr>
  </w:style>
  <w:style w:type="paragraph" w:customStyle="1" w:styleId="Body1">
    <w:name w:val="Body 1"/>
    <w:basedOn w:val="a"/>
    <w:uiPriority w:val="1"/>
    <w:qFormat/>
    <w:rsid w:val="00A54280"/>
    <w:pPr>
      <w:numPr>
        <w:ilvl w:val="1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1"/>
    </w:pPr>
    <w:rPr>
      <w:rFonts w:ascii="Arial" w:hAnsi="Arial" w:cs="Arial"/>
      <w:sz w:val="20"/>
    </w:rPr>
  </w:style>
  <w:style w:type="paragraph" w:customStyle="1" w:styleId="Body2">
    <w:name w:val="Body 2"/>
    <w:basedOn w:val="a"/>
    <w:uiPriority w:val="1"/>
    <w:qFormat/>
    <w:rsid w:val="00A54280"/>
    <w:pPr>
      <w:numPr>
        <w:ilvl w:val="2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2"/>
    </w:pPr>
    <w:rPr>
      <w:rFonts w:ascii="Arial" w:hAnsi="Arial"/>
      <w:sz w:val="20"/>
      <w:lang w:val="en-US"/>
    </w:rPr>
  </w:style>
  <w:style w:type="paragraph" w:customStyle="1" w:styleId="Body3">
    <w:name w:val="Body 3"/>
    <w:basedOn w:val="a"/>
    <w:uiPriority w:val="1"/>
    <w:qFormat/>
    <w:rsid w:val="00A54280"/>
    <w:pPr>
      <w:numPr>
        <w:ilvl w:val="3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3"/>
    </w:pPr>
    <w:rPr>
      <w:rFonts w:ascii="Arial" w:hAnsi="Arial"/>
      <w:sz w:val="20"/>
      <w:lang w:val="en-US"/>
    </w:rPr>
  </w:style>
  <w:style w:type="paragraph" w:customStyle="1" w:styleId="Body4">
    <w:name w:val="Body 4"/>
    <w:basedOn w:val="a"/>
    <w:uiPriority w:val="1"/>
    <w:qFormat/>
    <w:rsid w:val="00A54280"/>
    <w:pPr>
      <w:numPr>
        <w:ilvl w:val="4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4"/>
    </w:pPr>
    <w:rPr>
      <w:rFonts w:ascii="Arial" w:hAnsi="Arial"/>
      <w:sz w:val="20"/>
      <w:lang w:val="en-US"/>
    </w:rPr>
  </w:style>
  <w:style w:type="paragraph" w:customStyle="1" w:styleId="Body5">
    <w:name w:val="Body 5"/>
    <w:basedOn w:val="a"/>
    <w:uiPriority w:val="1"/>
    <w:qFormat/>
    <w:rsid w:val="00A54280"/>
    <w:pPr>
      <w:numPr>
        <w:ilvl w:val="5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5"/>
    </w:pPr>
    <w:rPr>
      <w:rFonts w:ascii="Arial" w:hAnsi="Arial"/>
      <w:sz w:val="20"/>
      <w:lang w:val="en-US"/>
    </w:rPr>
  </w:style>
  <w:style w:type="paragraph" w:customStyle="1" w:styleId="Body6">
    <w:name w:val="Body 6"/>
    <w:basedOn w:val="a"/>
    <w:uiPriority w:val="1"/>
    <w:qFormat/>
    <w:rsid w:val="00A54280"/>
    <w:pPr>
      <w:numPr>
        <w:ilvl w:val="6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6"/>
    </w:pPr>
    <w:rPr>
      <w:rFonts w:ascii="Arial" w:hAnsi="Arial"/>
      <w:sz w:val="20"/>
      <w:lang w:val="en-US"/>
    </w:rPr>
  </w:style>
  <w:style w:type="paragraph" w:customStyle="1" w:styleId="Body7">
    <w:name w:val="Body 7"/>
    <w:basedOn w:val="a"/>
    <w:uiPriority w:val="1"/>
    <w:qFormat/>
    <w:rsid w:val="00A54280"/>
    <w:pPr>
      <w:numPr>
        <w:ilvl w:val="7"/>
        <w:numId w:val="3"/>
      </w:numPr>
      <w:tabs>
        <w:tab w:val="num" w:pos="360"/>
      </w:tabs>
      <w:spacing w:before="120" w:after="120" w:line="300" w:lineRule="exact"/>
      <w:ind w:left="0"/>
      <w:jc w:val="both"/>
      <w:outlineLvl w:val="7"/>
    </w:pPr>
    <w:rPr>
      <w:rFonts w:ascii="Arial" w:hAnsi="Arial"/>
      <w:sz w:val="20"/>
      <w:lang w:val="en-US"/>
    </w:rPr>
  </w:style>
  <w:style w:type="character" w:styleId="a3">
    <w:name w:val="Hyperlink"/>
    <w:basedOn w:val="a0"/>
    <w:uiPriority w:val="99"/>
    <w:unhideWhenUsed/>
    <w:rsid w:val="000F06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kmarket.gov.ua/cabinet/show/49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Stognienko</dc:creator>
  <cp:keywords/>
  <dc:description/>
  <cp:lastModifiedBy>Главбух</cp:lastModifiedBy>
  <cp:revision>2</cp:revision>
  <dcterms:created xsi:type="dcterms:W3CDTF">2021-03-19T13:42:00Z</dcterms:created>
  <dcterms:modified xsi:type="dcterms:W3CDTF">2021-03-19T13:42:00Z</dcterms:modified>
</cp:coreProperties>
</file>